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客户信用评价体系说明</w:t>
      </w:r>
    </w:p>
    <w:p>
      <w:r>
        <w:rPr>
          <w:rFonts w:ascii="微软雅黑" w:hAnsi="微软雅黑" w:eastAsia="微软雅黑"/>
          <w:b w:val="0"/>
          <w:i w:val="0"/>
          <w:color w:val="646464"/>
          <w:sz w:val="18"/>
        </w:rPr>
        <w:t>适用版本：呈尚服饰应收账款管理-悟帆AI v1.0 · 更新日期：2026-06-30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一、评分模型总览</w:t>
      </w:r>
    </w:p>
    <w:p>
      <w:r>
        <w:rPr>
          <w:rFonts w:ascii="微软雅黑" w:hAnsi="微软雅黑" w:eastAsia="微软雅黑"/>
          <w:b/>
          <w:i w:val="0"/>
          <w:sz w:val="21"/>
        </w:rPr>
        <w:t>评分体系 v1.0 · 六维加权信用评分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维度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权重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核心指标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账龄风险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35%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90+天全额扣分 + 61-90天×0.7 + 31-60天×0.3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回款习惯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25%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历史回款率 50% + 回款延迟 30% + 回款规律性 20%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交易活跃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15%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月下单频率 vs 行业 P75 + 距上次活动天数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应收集中度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10%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单客户 AR / TOP10均值×3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交易质量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10%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退货率 + 欠货量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趋势方向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5%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近 1/3 期 vs 前 1/3 期销售额变化</w:t>
            </w:r>
          </w:p>
        </w:tc>
      </w:tr>
    </w:tbl>
    <w:p>
      <w:pPr>
        <w:pStyle w:val="Heading1"/>
      </w:pPr>
      <w:r>
        <w:t>二、阈值判定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综合评分区间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风险等级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≥ 80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正常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65 - 79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关注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50 - 64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中风险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&lt; 50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高风险</w:t>
            </w:r>
          </w:p>
        </w:tc>
      </w:tr>
    </w:tbl>
    <w:p>
      <w:r>
        <w:rPr>
          <w:rFonts w:ascii="微软雅黑" w:hAnsi="微软雅黑" w:eastAsia="微软雅黑"/>
          <w:b w:val="0"/>
          <w:i/>
          <w:color w:val="646464"/>
          <w:sz w:val="18"/>
        </w:rPr>
        <w:t>基准值（P75频率 2.3单/月、P75延迟 29天、TOP10均值 ¥77,820）从全量 2024-2025 数据统计得出。新增大量客户时建议重新统计以保持可比性。</w:t>
      </w:r>
    </w:p>
    <w:p>
      <w:pPr>
        <w:pStyle w:val="Heading1"/>
      </w:pPr>
      <w:r>
        <w:t>三、量化标准与案例解析</w:t>
      </w:r>
    </w:p>
    <w:p>
      <w:r>
        <w:rPr>
          <w:rFonts w:ascii="微软雅黑" w:hAnsi="微软雅黑" w:eastAsia="微软雅黑"/>
          <w:b/>
          <w:i w:val="0"/>
          <w:sz w:val="21"/>
        </w:rPr>
        <w:t>以「广州名门礼服」（综合 47.8 分 / 高风险）为例。</w:t>
      </w:r>
    </w:p>
    <w:p>
      <w:pPr>
        <w:pStyle w:val="Heading2"/>
      </w:pPr>
      <w:r>
        <w:t>3.1 客户画像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指标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数值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应收余额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¥83,200（39 笔未核销发票）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历史总应收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¥93,200（期初 ¥6,700 + 40 笔销售）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历史回款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¥0（0 笔收款记录）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退货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¥10,000（退货率 10.7%）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欠货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25 件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月均下单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6.7 单（频率极高）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最近活动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 天前</w:t>
            </w:r>
          </w:p>
        </w:tc>
      </w:tr>
    </w:tbl>
    <w:p>
      <w:pPr>
        <w:pStyle w:val="Heading2"/>
      </w:pPr>
      <w:r>
        <w:t>3.2 账龄风险（权重 35%）— 得分 28.7</w:t>
      </w:r>
    </w:p>
    <w:p>
      <w:r>
        <w:rPr>
          <w:rFonts w:ascii="微软雅黑" w:hAnsi="微软雅黑" w:eastAsia="微软雅黑"/>
          <w:b w:val="0"/>
          <w:i w:val="0"/>
          <w:sz w:val="21"/>
        </w:rPr>
        <w:t>账龄分 = 100 − [(90+天金额) + (61-90天×0.7) + (31-60天×0.3)] / 应收总额 × 100</w:t>
      </w:r>
    </w:p>
    <w:p>
      <w:r>
        <w:rPr>
          <w:rFonts w:ascii="微软雅黑" w:hAnsi="微软雅黑" w:eastAsia="微软雅黑"/>
          <w:b w:val="0"/>
          <w:i/>
          <w:color w:val="646464"/>
          <w:sz w:val="18"/>
        </w:rPr>
        <w:t>核心理念：90 天以上的旧账全额扣分，越近期的账龄惩罚越轻。权重递减系数 1.0 → 0.7 → 0.3 反映「越旧越危险」。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账龄段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金额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系数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加权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90+ 天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¥47,900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×1.0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¥47,900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61-90 天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¥12,200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×0.7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¥8,540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31-60 天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¥9,700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×0.3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¥2,910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0-30 天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¥13,400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×0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¥0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加权合计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¥59,350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sz w:val="21"/>
        </w:rPr>
        <w:t>账龄分 = 100 − 59,350 / 83,200 × 100 = 28.7</w:t>
      </w:r>
    </w:p>
    <w:p>
      <w:pPr>
        <w:pStyle w:val="Heading2"/>
      </w:pPr>
      <w:r>
        <w:t>3.3 回款习惯（权重 25%）— 得分 30.3</w:t>
      </w:r>
    </w:p>
    <w:p>
      <w:r>
        <w:rPr>
          <w:rFonts w:ascii="微软雅黑" w:hAnsi="微软雅黑" w:eastAsia="微软雅黑"/>
          <w:b w:val="0"/>
          <w:i w:val="0"/>
          <w:sz w:val="21"/>
        </w:rPr>
        <w:t>三因子合成：回款习惯分 = 回款率分 × 0.5 + 延迟分 × 0.3 + 规律分 × 0.2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子维度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公式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广州名门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得分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回款率分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min(总回款÷总应收, 1) × 100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¥0 ÷ ¥93,200 = 0%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0.0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延迟分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100 × (1 − 平均延迟/90)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无回款记录，取行业 P75 = 29 天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67.8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规律分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100 × (1 − CV/3)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无规律（&lt;3 笔回款），CV 默认 1.5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50.0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sz w:val="21"/>
        </w:rPr>
        <w:t>回款习惯分 = 0.0 × 0.5 + 67.8 × 0.3 + 50.0 × 0.2 = 30.3</w:t>
      </w:r>
    </w:p>
    <w:p>
      <w:r>
        <w:rPr>
          <w:rFonts w:ascii="微软雅黑" w:hAnsi="微软雅黑" w:eastAsia="微软雅黑"/>
          <w:b w:val="0"/>
          <w:i/>
          <w:color w:val="646464"/>
          <w:sz w:val="18"/>
        </w:rPr>
        <w:t>解读：核心问题是从未主动回款。40 笔销售、0 笔收款——唯一减少应收的途径是 14 次退货冲销。数据不足的子维度取行业中位数做保守估计。</w:t>
      </w:r>
    </w:p>
    <w:p>
      <w:pPr>
        <w:pStyle w:val="Heading2"/>
      </w:pPr>
      <w:r>
        <w:t>3.4 交易活跃度（权重 15%）— 得分 99.2</w:t>
      </w:r>
    </w:p>
    <w:p>
      <w:r>
        <w:rPr>
          <w:rFonts w:ascii="微软雅黑" w:hAnsi="微软雅黑" w:eastAsia="微软雅黑"/>
          <w:b w:val="0"/>
          <w:i w:val="0"/>
          <w:sz w:val="21"/>
        </w:rPr>
        <w:t>活跃分 = 频率分 × 0.5 + 新鲜度分 × 0.5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子维度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公式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广州名门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得分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频率分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min(月均单数/P75, 1) × 100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6.7 / 2.3 → cap 100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100.0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新鲜度分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100 × (1 − 距上次/365)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 天前刚下单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98.4</w:t>
            </w:r>
          </w:p>
        </w:tc>
      </w:tr>
    </w:tbl>
    <w:p>
      <w:r>
        <w:rPr>
          <w:rFonts w:ascii="微软雅黑" w:hAnsi="微软雅黑" w:eastAsia="微软雅黑"/>
          <w:b w:val="0"/>
          <w:i/>
          <w:color w:val="646464"/>
          <w:sz w:val="18"/>
        </w:rPr>
        <w:t>解读：这是广州名门唯一亮眼的维度——每月下单 6.7 次，远超行业 P75（2.3 次），且 6 天前还在活跃交易。但这个高分恰恰制造了一个危险信号：高频下单 + 零回款 = 赊销失控。</w:t>
      </w:r>
    </w:p>
    <w:p>
      <w:pPr>
        <w:pStyle w:val="Heading2"/>
      </w:pPr>
      <w:r>
        <w:t>3.5 应收集中度（权重 10%）— 得分 64.4</w:t>
      </w:r>
    </w:p>
    <w:p>
      <w:r>
        <w:rPr>
          <w:rFonts w:ascii="微软雅黑" w:hAnsi="微软雅黑" w:eastAsia="微软雅黑"/>
          <w:b w:val="0"/>
          <w:i w:val="0"/>
          <w:sz w:val="21"/>
        </w:rPr>
        <w:t>集中度分 = 100 × [1 − 客户AR / (TOP10均值 × 3)]</w:t>
      </w:r>
    </w:p>
    <w:p>
      <w:r>
        <w:rPr>
          <w:rFonts w:ascii="微软雅黑" w:hAnsi="微软雅黑" w:eastAsia="微软雅黑"/>
          <w:b w:val="0"/>
          <w:i w:val="0"/>
          <w:sz w:val="21"/>
        </w:rPr>
        <w:t>= 100 × [1 − 83,200 / 233,460] = 64.4</w:t>
      </w:r>
    </w:p>
    <w:p>
      <w:r>
        <w:rPr>
          <w:rFonts w:ascii="微软雅黑" w:hAnsi="微软雅黑" w:eastAsia="微软雅黑"/>
          <w:b w:val="0"/>
          <w:i/>
          <w:color w:val="646464"/>
          <w:sz w:val="18"/>
        </w:rPr>
        <w:t>理念：TOP10均值 × 3 = ¥233,460 作为「单户警戒线」。超过这条线得 0 分，越小越好。广州名门 ¥83,200，超过均值（¥77,820），但未触及三倍警戒线，扣分中等。</w:t>
      </w:r>
    </w:p>
    <w:p>
      <w:pPr>
        <w:pStyle w:val="Heading2"/>
      </w:pPr>
      <w:r>
        <w:t>3.6 交易质量（权重 10%）— 得分 84.6</w:t>
      </w:r>
    </w:p>
    <w:p>
      <w:r>
        <w:rPr>
          <w:rFonts w:ascii="微软雅黑" w:hAnsi="微软雅黑" w:eastAsia="微软雅黑"/>
          <w:b w:val="0"/>
          <w:i w:val="0"/>
          <w:sz w:val="21"/>
        </w:rPr>
        <w:t>质量分 = 退货贡献（60%） + 欠货贡献（40%）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子维度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公式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广州名门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得分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退货贡献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100×(1−退货率/50%) × 0.6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退货率 10.7%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47.1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欠货贡献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(100−欠货罚) × 0.4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欠货罚 = min(25÷(15533÷200+1)×20, 100) ≈ 6.3 → (100−6.3)×0.4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37.5</w:t>
            </w:r>
          </w:p>
        </w:tc>
      </w:tr>
    </w:tbl>
    <w:p>
      <w:r>
        <w:rPr>
          <w:rFonts w:ascii="微软雅黑" w:hAnsi="微软雅黑" w:eastAsia="微软雅黑"/>
          <w:b w:val="0"/>
          <w:i/>
          <w:color w:val="646464"/>
          <w:sz w:val="18"/>
        </w:rPr>
        <w:t>解读：退货率 10.7% 不算特别高（行业参考 P75 约 46%），欠货 25 件相对于月均 ¥15,533 的体量也不算严重。质量分尚可。</w:t>
      </w:r>
    </w:p>
    <w:p>
      <w:pPr>
        <w:pStyle w:val="Heading2"/>
      </w:pPr>
      <w:r>
        <w:t>3.7 趋势方向（权重 5%）— 得分 8.1</w:t>
      </w:r>
    </w:p>
    <w:p>
      <w:r>
        <w:rPr>
          <w:rFonts w:ascii="微软雅黑" w:hAnsi="微软雅黑" w:eastAsia="微软雅黑"/>
          <w:b w:val="0"/>
          <w:i w:val="0"/>
          <w:sz w:val="21"/>
        </w:rPr>
        <w:t>趋势分 = 50 + clamp(销售额增长率 × 100, −50, +50)</w:t>
      </w:r>
    </w:p>
    <w:p>
      <w:r>
        <w:rPr>
          <w:rFonts w:ascii="微软雅黑" w:hAnsi="微软雅黑" w:eastAsia="微软雅黑"/>
          <w:b w:val="0"/>
          <w:i w:val="0"/>
          <w:sz w:val="21"/>
        </w:rPr>
        <w:t>广州名门近 1/3 期月均 ¥1,546 vs. 前 1/3 期月均 ¥2,662 → −41.9%。说明销售在下滑。</w:t>
      </w:r>
    </w:p>
    <w:p>
      <w:r>
        <w:rPr>
          <w:rFonts w:ascii="微软雅黑" w:hAnsi="微软雅黑" w:eastAsia="微软雅黑"/>
          <w:b w:val="0"/>
          <w:i w:val="0"/>
          <w:sz w:val="21"/>
        </w:rPr>
        <w:t>趋势分 = 50 + (−41.9) = 8.1</w:t>
      </w:r>
    </w:p>
    <w:p>
      <w:pPr>
        <w:pStyle w:val="Heading2"/>
      </w:pPr>
      <w:r>
        <w:t>3.8 最终加总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维度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得分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× 权重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= 贡献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账龄风险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28.7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× 35%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10.0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回款习惯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30.3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× 25%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7.6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交易活跃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99.2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× 15%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14.9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应收集中度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64.4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× 10%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6.4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交易质量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84.6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× 10%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8.5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趋势方向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8.1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× 5%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0.4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br/>
              <w:t>综合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47.8 → 高风险</w:t>
            </w:r>
          </w:p>
        </w:tc>
      </w:tr>
    </w:tbl>
    <w:p>
      <w:pPr>
        <w:pStyle w:val="Heading1"/>
      </w:pPr>
      <w:r>
        <w:t>四、一句话诊断</w:t>
      </w:r>
    </w:p>
    <w:p>
      <w:r>
        <w:rPr>
          <w:rFonts w:ascii="微软雅黑" w:hAnsi="微软雅黑" w:eastAsia="微软雅黑"/>
          <w:b/>
          <w:i w:val="0"/>
          <w:sz w:val="22"/>
        </w:rPr>
        <w:t>广州名门礼服的 47.8 分，根因就两个：6 个月下来只卖不收（回款 0 分），且 17 张发票逾期超过 90 天（账龄 28.7 分）。高频下单说明合作关系还在，但赊销信用已经崩了——继续发货只会扩大窟窿。</w:t>
      </w:r>
    </w:p>
    <w:p>
      <w:pPr>
        <w:pStyle w:val="Heading1"/>
      </w:pPr>
      <w:r>
        <w:t>五、评分结果输出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输出物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说明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呈尚服饰_客户评分表.xlsx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三工作表（评分总览 / 六维分解 / 风险汇总）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export_scored.json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机器可读评分数据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呈尚服饰_应收管理看板.html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可视化仪表盘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简道云评分结果表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17 字段，评分结果自动回写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r>
        <w:rPr>
          <w:rFonts w:ascii="微软雅黑" w:hAnsi="微软雅黑" w:eastAsia="微软雅黑"/>
          <w:b w:val="0"/>
          <w:i/>
          <w:color w:val="646464"/>
          <w:sz w:val="18"/>
        </w:rPr>
        <w:t>本文档为呈尚服饰应收账款管理-悟帆AI 应用内嵌说明，与《应收管理AI技术结合使用说明》《先进先出账龄核算说明》共同构成完整的方法论文档体系。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